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bidi w:val="1"/>
        <w:spacing w:lineRule="auto" w:line="360"/>
        <w:contextualSpacing w:val="0"/>
        <w:jc w:val="center"/>
      </w:pPr>
      <w:hyperlink r:id="rId5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מודל</w:t>
        </w:r>
      </w:hyperlink>
      <w:hyperlink r:id="rId6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7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לניתוח</w:t>
        </w:r>
      </w:hyperlink>
      <w:hyperlink r:id="rId8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9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מגדרי</w:t>
        </w:r>
      </w:hyperlink>
      <w:hyperlink r:id="rId10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11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של</w:t>
        </w:r>
      </w:hyperlink>
      <w:hyperlink r:id="rId12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13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תקציבי</w:t>
        </w:r>
      </w:hyperlink>
      <w:hyperlink r:id="rId14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15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תכניות</w:t>
        </w:r>
      </w:hyperlink>
      <w:hyperlink r:id="rId16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17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ופרויקטים</w:t>
        </w:r>
      </w:hyperlink>
      <w:hyperlink r:id="rId18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 </w:t>
        </w:r>
      </w:hyperlink>
      <w:hyperlink r:id="rId19">
        <w:r w:rsidRPr="00000000" w:rsidR="00000000" w:rsidDel="00000000">
          <w:rPr>
            <w:rFonts w:cs="Arial" w:hAnsi="Arial" w:eastAsia="Arial" w:ascii="Arial"/>
            <w:b w:val="1"/>
            <w:smallCaps w:val="0"/>
            <w:rtl w:val="1"/>
          </w:rPr>
          <w:t xml:space="preserve">עירוניים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center"/>
      </w:pPr>
      <w:hyperlink r:id="rId2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שלב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2 –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התוצר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תוצרים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שלב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זה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דוח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ניתוח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התקציב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המבוסס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הפורמט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הבא</w:t>
      </w:r>
      <w:r w:rsidRPr="00000000" w:rsidR="00000000" w:rsidDel="00000000">
        <w:rPr>
          <w:rFonts w:cs="Arial" w:hAnsi="Arial" w:eastAsia="Arial" w:ascii="Arial"/>
          <w:smallCaps w:val="0"/>
          <w:rtl w:val="1"/>
        </w:rPr>
        <w:t xml:space="preserve">:</w:t>
      </w:r>
    </w:p>
    <w:tbl>
      <w:tblPr>
        <w:bidiVisual w:val="0"/>
        <w:tblW w:w="9638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409"/>
        <w:gridCol w:w="2408"/>
        <w:gridCol w:w="2410"/>
        <w:gridCol w:w="2411"/>
        <w:gridCol w:w="0"/>
        <w:gridCol w:w="0"/>
        <w:gridCol w:w="0"/>
        <w:gridCol w:w="0"/>
      </w:tblGrid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שנה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 (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הבאה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)</w:t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2012 (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הצעת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תקציב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)</w:t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(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באלפי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 ₪)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שנה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 (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נוכחית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)</w:t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2011 (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מעודכן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)</w:t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(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באלפי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 ₪)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שנה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 (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קודמת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)</w:t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2010 (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תקציב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ביצוע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)</w:t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(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באלפי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 ₪)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התכנית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 / 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שירות</w:t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מועדונים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חברתיים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לקשישים</w:t>
            </w:r>
          </w:p>
        </w:tc>
      </w:tr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0"/>
              </w:rPr>
              <w:t xml:space="preserve">380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0"/>
              </w:rPr>
              <w:t xml:space="preserve">315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0"/>
              </w:rPr>
              <w:t xml:space="preserve">206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תקציב</w:t>
            </w:r>
          </w:p>
        </w:tc>
      </w:tr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0"/>
              </w:rPr>
              <w:t xml:space="preserve">900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0"/>
              </w:rPr>
              <w:t xml:space="preserve">800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0"/>
              </w:rPr>
              <w:t xml:space="preserve">700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סך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כל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התושבים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הנהנים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מהתקציב</w:t>
            </w:r>
          </w:p>
        </w:tc>
      </w:tr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422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ש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"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ח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393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ש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"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ח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294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ש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"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sz w:val="22"/>
                <w:u w:val="single"/>
                <w:rtl w:val="1"/>
              </w:rPr>
              <w:t xml:space="preserve">ח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סך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ההוצאה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פר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תושב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/</w:t>
            </w:r>
            <w:r w:rsidRPr="00000000" w:rsidR="00000000" w:rsidDel="00000000">
              <w:rPr>
                <w:rFonts w:cs="Arial" w:hAnsi="Arial" w:eastAsia="Arial" w:ascii="Arial"/>
                <w:b w:val="1"/>
                <w:smallCaps w:val="0"/>
                <w:rtl w:val="1"/>
              </w:rPr>
              <w:t xml:space="preserve">ת</w:t>
            </w:r>
          </w:p>
        </w:tc>
      </w:tr>
    </w:tbl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האם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כל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מה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שהוקצה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לתכנית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בשנה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שעברה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הוצא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בפועל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?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כן</w:t>
      </w: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_____________________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מה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ההוצאה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שלא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מוצה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?</w:t>
      </w: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________________________________________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מה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טבעה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ההוצאה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שנתית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מוגבלת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בזמן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...)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שנתית</w:t>
      </w: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_______________________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מי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מספק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השירות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חברה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עסקית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/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עמותה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/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עירייה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)?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עמותות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שונות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מספר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המועסקים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/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ות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בשירות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/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תכנית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90,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מהם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70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נשים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האם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חלו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שינויים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בכוח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האדם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המועסק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בשירות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בהשוואה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לשנה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שעברה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?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u w:val="single"/>
          <w:rtl w:val="1"/>
        </w:rPr>
        <w:t xml:space="preserve">לא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האם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חלו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שינויים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בעלויות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השירותים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עבור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התושבים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?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לא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.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השירות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ללא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תשלום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/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התשלום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סמלי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ועומד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0"/>
        </w:rPr>
        <w:t xml:space="preserve">X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₪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לביקור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פילוח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מגדרי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ההוצאה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התקציבית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9637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754"/>
        <w:gridCol w:w="1177"/>
        <w:gridCol w:w="1246"/>
        <w:gridCol w:w="1350"/>
        <w:gridCol w:w="1488"/>
        <w:gridCol w:w="1477"/>
        <w:gridCol w:w="1145"/>
      </w:tblGrid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שנה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הבאה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 (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הערכה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)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after="200" w:line="276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after="200" w:line="276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שנה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נוכחית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after="200" w:line="276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שנה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שעברה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after="200" w:line="276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נשים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גברים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נשים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גברים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נשים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גברים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500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400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470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330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400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300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מספרים</w:t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מוחלטים</w:t>
            </w:r>
          </w:p>
        </w:tc>
      </w:tr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55%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45%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59%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41%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57%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43%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אחוזים</w:t>
            </w:r>
          </w:p>
        </w:tc>
      </w:tr>
      <w:tr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0"/>
              </w:rPr>
              <w:t xml:space="preserve">211,000</w:t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ש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"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ח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168,800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ש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"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ח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184,710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ש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"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ח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129,690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ש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"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ח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117,600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ש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"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ח</w:t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88,200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ש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"</w:t>
            </w:r>
            <w:r w:rsidRPr="00000000" w:rsidR="00000000" w:rsidDel="00000000">
              <w:rPr>
                <w:rFonts w:cs="Arial" w:hAnsi="Arial" w:eastAsia="Arial" w:ascii="Arial"/>
                <w:smallCaps w:val="0"/>
                <w:color w:val="ff0000"/>
                <w:rtl w:val="1"/>
              </w:rPr>
              <w:t xml:space="preserve">ח</w:t>
            </w:r>
          </w:p>
        </w:tc>
        <w:tc>
          <w:tcPr>
            <w:tcMar>
              <w:top w:w="100.0" w:type="dxa"/>
              <w:left w:w="113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bidi w:val="1"/>
              <w:spacing w:lineRule="auto" w:line="36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חלוקת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 </w:t>
            </w:r>
            <w:r w:rsidRPr="00000000" w:rsidR="00000000" w:rsidDel="00000000">
              <w:rPr>
                <w:rFonts w:cs="Arial" w:hAnsi="Arial" w:eastAsia="Arial" w:ascii="Arial"/>
                <w:smallCaps w:val="0"/>
                <w:rtl w:val="1"/>
              </w:rPr>
              <w:t xml:space="preserve">התקציב</w:t>
            </w:r>
          </w:p>
        </w:tc>
      </w:tr>
    </w:tbl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סיכום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מילולי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קצר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התוצאות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השנה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השתתפו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800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קשישים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בפעילויות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המועדונים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החברתיים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בעיר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מהם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59%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נשים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ו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-41%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גברים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.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זה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דומה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לשיעור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הקשישות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בני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/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ות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65+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ומעלה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)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באוכלוסיית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העיר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שעומד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כ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-59%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ולפיכך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רצוי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שיחס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זה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קשישות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וקשישים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המבקרים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במועדונים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יישמר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.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לצד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זאת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השאיפה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היא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להגדיל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כל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הזמן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המספר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המוחלט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הנשים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והגברים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הנהנים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מהשירותים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החברתיים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במועדונים</w:t>
      </w:r>
      <w:r w:rsidRPr="00000000" w:rsidR="00000000" w:rsidDel="00000000">
        <w:rPr>
          <w:rFonts w:cs="Arial" w:hAnsi="Arial" w:eastAsia="Arial" w:ascii="Arial"/>
          <w:smallCaps w:val="0"/>
          <w:color w:val="ff0000"/>
          <w:rtl w:val="1"/>
        </w:rPr>
        <w:t xml:space="preserve">.</w:t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החלוקה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המגדרית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התקציב</w:t>
      </w:r>
      <w:r w:rsidRPr="00000000" w:rsidR="00000000" w:rsidDel="00000000">
        <w:rPr>
          <w:rFonts w:cs="Arial" w:hAnsi="Arial" w:eastAsia="Arial" w:ascii="Arial"/>
          <w:b w:val="1"/>
          <w:smallCaps w:val="0"/>
          <w:rtl w:val="1"/>
        </w:rPr>
        <w:t xml:space="preserve">: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after="20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ff0000"/>
          <w:sz w:val="24"/>
          <w:u w:val="none"/>
          <w:vertAlign w:val="baseline"/>
          <w:rtl w:val="1"/>
        </w:rPr>
        <w:t xml:space="preserve">נשים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ff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ff0000"/>
          <w:sz w:val="24"/>
          <w:u w:val="none"/>
          <w:vertAlign w:val="baseline"/>
          <w:rtl w:val="1"/>
        </w:rPr>
        <w:t xml:space="preserve">הן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ff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ff0000"/>
          <w:sz w:val="24"/>
          <w:u w:val="none"/>
          <w:vertAlign w:val="baseline"/>
          <w:rtl w:val="1"/>
        </w:rPr>
        <w:t xml:space="preserve">רוב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ff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ff0000"/>
          <w:sz w:val="24"/>
          <w:u w:val="none"/>
          <w:vertAlign w:val="baseline"/>
          <w:rtl w:val="1"/>
        </w:rPr>
        <w:t xml:space="preserve">המשתמשים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after="20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גברים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הם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רוב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המשתמשים</w:t>
      </w:r>
    </w:p>
    <w:p w:rsidP="00000000" w:rsidRPr="00000000" w:rsidR="00000000" w:rsidDel="00000000" w:rsidRDefault="00000000">
      <w:pPr>
        <w:numPr>
          <w:ilvl w:val="0"/>
          <w:numId w:val="1"/>
        </w:numPr>
        <w:bidi w:val="1"/>
        <w:spacing w:lineRule="auto" w:after="200" w:line="360" w:before="0"/>
        <w:ind w:left="720" w:right="0" w:hanging="359"/>
        <w:contextualSpacing w:val="1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נשים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וגברים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משתמשים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במידה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1"/>
        </w:rPr>
        <w:t xml:space="preserve">שווה</w:t>
      </w:r>
    </w:p>
    <w:p w:rsidP="00000000" w:rsidRPr="00000000" w:rsidR="00000000" w:rsidDel="00000000" w:rsidRDefault="00000000">
      <w:pPr>
        <w:bidi w:val="1"/>
        <w:spacing w:lineRule="auto" w:after="120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after="120" w:line="36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360"/>
        <w:contextualSpacing w:val="0"/>
        <w:jc w:val="left"/>
        <w:rPr/>
      </w:pPr>
      <w:r w:rsidRPr="00000000" w:rsidR="00000000" w:rsidDel="00000000">
        <w:rPr>
          <w:rFonts w:cs="Arial" w:hAnsi="Arial" w:eastAsia="Arial" w:ascii="Arial"/>
          <w:rtl w:val="1"/>
        </w:rPr>
        <w:t xml:space="preserve">אם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תרצו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לשתף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הסיכום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אנא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שלחו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אלינו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לכתובת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after="120" w:line="360"/>
        <w:contextualSpacing w:val="0"/>
        <w:jc w:val="left"/>
      </w:pPr>
      <w:r w:rsidRPr="00000000" w:rsidR="00000000" w:rsidDel="00000000">
        <w:rPr>
          <w:rFonts w:cs="Arial" w:hAnsi="Arial" w:eastAsia="Arial" w:ascii="Arial"/>
          <w:rtl w:val="0"/>
        </w:rPr>
        <w:t xml:space="preserve">yaeladva@bezeqint.net</w:t>
      </w:r>
    </w:p>
    <w:sectPr>
      <w:pgSz w:w="11906" w:h="16838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righ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http://genderlocal.org/#work" Type="http://schemas.openxmlformats.org/officeDocument/2006/relationships/hyperlink" TargetMode="External" Id="rId19"/><Relationship Target="http://genderlocal.org/#work" Type="http://schemas.openxmlformats.org/officeDocument/2006/relationships/hyperlink" TargetMode="External" Id="rId18"/><Relationship Target="http://genderlocal.org/#work" Type="http://schemas.openxmlformats.org/officeDocument/2006/relationships/hyperlink" TargetMode="External" Id="rId17"/><Relationship Target="http://genderlocal.org/#work" Type="http://schemas.openxmlformats.org/officeDocument/2006/relationships/hyperlink" TargetMode="External" Id="rId16"/><Relationship Target="http://genderlocal.org/#work" Type="http://schemas.openxmlformats.org/officeDocument/2006/relationships/hyperlink" TargetMode="External" Id="rId15"/><Relationship Target="http://genderlocal.org/#work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genderlocal.org/#work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genderlocal.org/#work" Type="http://schemas.openxmlformats.org/officeDocument/2006/relationships/hyperlink" TargetMode="External" Id="rId13"/><Relationship Target="styles.xml" Type="http://schemas.openxmlformats.org/officeDocument/2006/relationships/styles" Id="rId4"/><Relationship Target="http://genderlocal.org/#work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genderlocal.org/#work" Type="http://schemas.openxmlformats.org/officeDocument/2006/relationships/hyperlink" TargetMode="External" Id="rId11"/><Relationship Target="http://genderlocal.org/#work" Type="http://schemas.openxmlformats.org/officeDocument/2006/relationships/hyperlink" TargetMode="External" Id="rId20"/><Relationship Target="http://genderlocal.org/#work" Type="http://schemas.openxmlformats.org/officeDocument/2006/relationships/hyperlink" TargetMode="External" Id="rId9"/><Relationship Target="http://genderlocal.org/#work" Type="http://schemas.openxmlformats.org/officeDocument/2006/relationships/hyperlink" TargetMode="External" Id="rId6"/><Relationship Target="http://genderlocal.org/#work" Type="http://schemas.openxmlformats.org/officeDocument/2006/relationships/hyperlink" TargetMode="External" Id="rId5"/><Relationship Target="http://genderlocal.org/#work" Type="http://schemas.openxmlformats.org/officeDocument/2006/relationships/hyperlink" TargetMode="External" Id="rId8"/><Relationship Target="http://genderlocal.org/#work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Model_1_Stage_2.docx</dc:title>
</cp:coreProperties>
</file>